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D9B" w:rsidRPr="0039737B" w:rsidRDefault="00265D9B" w:rsidP="00265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1008987"/>
      <w:r>
        <w:rPr>
          <w:b/>
          <w:noProof/>
          <w:sz w:val="24"/>
        </w:rPr>
        <w:t>3GPP TSG-SA WG1 Meeting #88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 w:rsidR="00B8604F" w:rsidRPr="00B8604F">
        <w:rPr>
          <w:b/>
          <w:noProof/>
          <w:sz w:val="24"/>
        </w:rPr>
        <w:t>S1-193087</w:t>
      </w:r>
      <w:bookmarkStart w:id="1" w:name="_GoBack"/>
      <w:bookmarkEnd w:id="1"/>
    </w:p>
    <w:p w:rsidR="00265D9B" w:rsidRPr="00E15307" w:rsidRDefault="00265D9B" w:rsidP="00265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7C6A1A">
        <w:rPr>
          <w:b/>
          <w:noProof/>
          <w:sz w:val="24"/>
        </w:rPr>
        <w:t xml:space="preserve"> 2019</w:t>
      </w:r>
      <w:r w:rsidRPr="0039737B">
        <w:rPr>
          <w:b/>
          <w:noProof/>
          <w:sz w:val="24"/>
        </w:rPr>
        <w:tab/>
      </w:r>
      <w:r>
        <w:rPr>
          <w:rFonts w:cs="Arial"/>
          <w:b/>
          <w:i/>
          <w:color w:val="0070C0"/>
        </w:rPr>
        <w:t>(revision of S1</w:t>
      </w:r>
      <w:r w:rsidRPr="0039737B">
        <w:rPr>
          <w:rFonts w:cs="Arial"/>
          <w:b/>
          <w:i/>
          <w:color w:val="0070C0"/>
        </w:rPr>
        <w:t>-1</w:t>
      </w:r>
      <w:r>
        <w:rPr>
          <w:rFonts w:cs="Arial"/>
          <w:b/>
          <w:i/>
          <w:color w:val="0070C0"/>
        </w:rPr>
        <w:t>9</w:t>
      </w:r>
      <w:r w:rsidRPr="0039737B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65D9B" w:rsidRPr="00E15307" w:rsidTr="009D4E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CR-Form-v11.2</w:t>
            </w: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42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5D9B" w:rsidRPr="00E15307" w:rsidRDefault="00B8604F" w:rsidP="009D4E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0418</w:t>
            </w:r>
          </w:p>
        </w:tc>
        <w:tc>
          <w:tcPr>
            <w:tcW w:w="709" w:type="dxa"/>
          </w:tcPr>
          <w:p w:rsidR="00265D9B" w:rsidRPr="00E15307" w:rsidRDefault="00265D9B" w:rsidP="009D4E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65D9B" w:rsidRPr="00E15307" w:rsidRDefault="00265D9B" w:rsidP="009D4E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4213D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905169">
              <w:rPr>
                <w:b/>
                <w:noProof/>
                <w:sz w:val="32"/>
              </w:rPr>
              <w:t>0</w:t>
            </w:r>
            <w:r w:rsidR="00B4213D">
              <w:rPr>
                <w:b/>
                <w:noProof/>
                <w:sz w:val="32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15307">
              <w:rPr>
                <w:rFonts w:cs="Arial"/>
                <w:i/>
                <w:noProof/>
              </w:rPr>
              <w:br/>
            </w:r>
            <w:hyperlink r:id="rId7" w:history="1">
              <w:r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15307">
              <w:rPr>
                <w:rFonts w:cs="Arial"/>
                <w:i/>
                <w:noProof/>
              </w:rPr>
              <w:t>.</w:t>
            </w:r>
          </w:p>
        </w:tc>
      </w:tr>
      <w:tr w:rsidR="00265D9B" w:rsidRPr="00E15307" w:rsidTr="009D4E84">
        <w:tc>
          <w:tcPr>
            <w:tcW w:w="9641" w:type="dxa"/>
            <w:gridSpan w:val="9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65D9B" w:rsidRPr="00E15307" w:rsidRDefault="00265D9B" w:rsidP="00265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D9B" w:rsidRPr="00E15307" w:rsidTr="009D4E84">
        <w:tc>
          <w:tcPr>
            <w:tcW w:w="2835" w:type="dxa"/>
          </w:tcPr>
          <w:p w:rsidR="00265D9B" w:rsidRPr="00E15307" w:rsidRDefault="00265D9B" w:rsidP="009D4E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65D9B" w:rsidRPr="00E15307" w:rsidRDefault="00265D9B" w:rsidP="00265D9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65D9B" w:rsidRPr="00E15307" w:rsidTr="009D4E84">
        <w:tc>
          <w:tcPr>
            <w:tcW w:w="9641" w:type="dxa"/>
            <w:gridSpan w:val="11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UAC for NB-IOT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65D9B" w:rsidRPr="00B8604F" w:rsidRDefault="00E11C99" w:rsidP="00E11C99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 w:rsidRPr="00B8604F">
              <w:rPr>
                <w:noProof/>
              </w:rPr>
              <w:t>5G_CIOT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E11C99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B8604F">
              <w:rPr>
                <w:noProof/>
              </w:rPr>
              <w:t>18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65D9B" w:rsidRPr="00E15307" w:rsidRDefault="00B4213D" w:rsidP="009D4E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905169">
              <w:rPr>
                <w:noProof/>
              </w:rPr>
              <w:t>1</w:t>
            </w:r>
            <w:r w:rsidR="00B4213D">
              <w:rPr>
                <w:noProof/>
              </w:rPr>
              <w:t>7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:rsidR="00265D9B" w:rsidRPr="00E15307" w:rsidRDefault="00265D9B" w:rsidP="009D4E84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Pr="00E15307">
              <w:rPr>
                <w:i/>
                <w:noProof/>
                <w:sz w:val="18"/>
              </w:rPr>
              <w:br/>
              <w:t>Rel-9</w:t>
            </w:r>
            <w:r w:rsidRPr="00E15307">
              <w:rPr>
                <w:i/>
                <w:noProof/>
                <w:sz w:val="18"/>
              </w:rPr>
              <w:tab/>
              <w:t>(Release 9)</w:t>
            </w:r>
            <w:r w:rsidRPr="00E15307">
              <w:rPr>
                <w:i/>
                <w:noProof/>
                <w:sz w:val="18"/>
              </w:rPr>
              <w:br/>
              <w:t>Rel-10</w:t>
            </w:r>
            <w:r w:rsidRPr="00E15307">
              <w:rPr>
                <w:i/>
                <w:noProof/>
                <w:sz w:val="18"/>
              </w:rPr>
              <w:tab/>
              <w:t>(Release 10)</w:t>
            </w:r>
            <w:r w:rsidRPr="00E15307">
              <w:rPr>
                <w:i/>
                <w:noProof/>
                <w:sz w:val="18"/>
              </w:rPr>
              <w:br/>
              <w:t>Rel-11</w:t>
            </w:r>
            <w:r w:rsidRPr="00E15307">
              <w:rPr>
                <w:i/>
                <w:noProof/>
                <w:sz w:val="18"/>
              </w:rPr>
              <w:tab/>
              <w:t>(Release 11)</w:t>
            </w:r>
            <w:r w:rsidRPr="00E15307">
              <w:rPr>
                <w:i/>
                <w:noProof/>
                <w:sz w:val="18"/>
              </w:rPr>
              <w:br/>
              <w:t>Rel-12</w:t>
            </w:r>
            <w:r w:rsidRPr="00E15307">
              <w:rPr>
                <w:i/>
                <w:noProof/>
                <w:sz w:val="18"/>
              </w:rPr>
              <w:tab/>
              <w:t>(Release 12)</w:t>
            </w:r>
            <w:r w:rsidRPr="00E15307">
              <w:rPr>
                <w:i/>
                <w:noProof/>
                <w:sz w:val="18"/>
              </w:rPr>
              <w:br/>
            </w:r>
            <w:bookmarkStart w:id="3" w:name="OLE_LINK1"/>
            <w:r w:rsidRPr="00E15307">
              <w:rPr>
                <w:i/>
                <w:noProof/>
                <w:sz w:val="18"/>
              </w:rPr>
              <w:t>Rel-13</w:t>
            </w:r>
            <w:r w:rsidRPr="00E15307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E15307">
              <w:rPr>
                <w:i/>
                <w:noProof/>
                <w:sz w:val="18"/>
              </w:rPr>
              <w:br/>
              <w:t>Rel-14</w:t>
            </w:r>
            <w:r w:rsidRPr="00E15307">
              <w:rPr>
                <w:i/>
                <w:noProof/>
                <w:sz w:val="18"/>
              </w:rPr>
              <w:tab/>
              <w:t>(Release 14)</w:t>
            </w:r>
            <w:r w:rsidRPr="00E15307">
              <w:rPr>
                <w:i/>
                <w:noProof/>
                <w:sz w:val="18"/>
              </w:rPr>
              <w:br/>
              <w:t>Rel-15</w:t>
            </w:r>
            <w:r w:rsidRPr="00E15307">
              <w:rPr>
                <w:i/>
                <w:noProof/>
                <w:sz w:val="18"/>
              </w:rPr>
              <w:tab/>
              <w:t>(Release 15)</w:t>
            </w:r>
            <w:r w:rsidRPr="00E15307">
              <w:rPr>
                <w:i/>
                <w:noProof/>
                <w:sz w:val="18"/>
              </w:rPr>
              <w:br/>
              <w:t>Rel-16</w:t>
            </w:r>
            <w:r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5D9B" w:rsidRPr="00E15307" w:rsidTr="009D4E84">
        <w:tc>
          <w:tcPr>
            <w:tcW w:w="1843" w:type="dxa"/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04F" w:rsidRPr="00E1530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604F" w:rsidRPr="00E15307" w:rsidRDefault="00B8604F" w:rsidP="00B86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604F" w:rsidRDefault="00B8604F" w:rsidP="00B86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and agreed at SA1#87 (</w:t>
            </w:r>
            <w:r w:rsidRPr="00650931">
              <w:rPr>
                <w:noProof/>
              </w:rPr>
              <w:t>S1-192707</w:t>
            </w:r>
            <w:r>
              <w:rPr>
                <w:noProof/>
              </w:rPr>
              <w:t>), 5GS UAC should be supported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and applicable also for </w:t>
            </w:r>
            <w:r>
              <w:rPr>
                <w:rFonts w:cs="Arial"/>
                <w:lang w:val="en-US"/>
              </w:rPr>
              <w:t>NB-IoT connected to 5GC</w:t>
            </w:r>
            <w:r>
              <w:rPr>
                <w:noProof/>
              </w:rPr>
              <w:t>.</w:t>
            </w:r>
          </w:p>
          <w:p w:rsidR="00B8604F" w:rsidRPr="00E15307" w:rsidRDefault="00B8604F" w:rsidP="00B86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latest RAN2 LS-in (</w:t>
            </w:r>
            <w:r w:rsidRPr="00650931">
              <w:rPr>
                <w:noProof/>
              </w:rPr>
              <w:t>R2-1911865</w:t>
            </w:r>
            <w:r>
              <w:rPr>
                <w:noProof/>
              </w:rPr>
              <w:t>), there is the need to introduce a separate UAC category for NB-IOT “MO expection data”, which could be barred based on PLMN conditions (a, b, c).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604F" w:rsidRDefault="00B8604F" w:rsidP="00B86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UAC access categories, including a new category for NB-IOT “Mo exection data”.</w:t>
            </w:r>
          </w:p>
          <w:p w:rsidR="00511E15" w:rsidRPr="00E15307" w:rsidRDefault="00B8604F" w:rsidP="00B86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other UAC categories, it is assumed that they could also apply to NB-IOT, so no change/exception has been made.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UAC differentiation for NB-IOT MO exception data</w:t>
            </w:r>
          </w:p>
        </w:tc>
      </w:tr>
      <w:tr w:rsidR="00265D9B" w:rsidRPr="00E15307" w:rsidTr="009D4E84">
        <w:tc>
          <w:tcPr>
            <w:tcW w:w="2268" w:type="dxa"/>
            <w:gridSpan w:val="2"/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  <w:r w:rsidRPr="00254DD6">
              <w:t>6.</w:t>
            </w:r>
            <w:r>
              <w:rPr>
                <w:rFonts w:hint="eastAsia"/>
                <w:lang w:eastAsia="ja-JP"/>
              </w:rPr>
              <w:t>22</w:t>
            </w:r>
            <w:r>
              <w:t>.2.</w:t>
            </w:r>
            <w:r>
              <w:rPr>
                <w:rFonts w:hint="eastAsia"/>
                <w:lang w:eastAsia="ja-JP"/>
              </w:rPr>
              <w:t>3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B4213D" w:rsidP="00265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Rel-16 CR in S1-19xxxx</w:t>
            </w:r>
          </w:p>
        </w:tc>
      </w:tr>
    </w:tbl>
    <w:p w:rsidR="00265D9B" w:rsidRPr="00E15307" w:rsidRDefault="00265D9B" w:rsidP="00265D9B">
      <w:pPr>
        <w:rPr>
          <w:noProof/>
        </w:rPr>
        <w:sectPr w:rsidR="00265D9B" w:rsidRPr="00E1530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CBA" w:rsidRDefault="00881CBA" w:rsidP="00881CBA">
      <w:pPr>
        <w:pStyle w:val="Heading4"/>
        <w:rPr>
          <w:lang w:eastAsia="ja-JP"/>
        </w:rPr>
      </w:pPr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0"/>
    </w:p>
    <w:p w:rsidR="00881CBA" w:rsidRPr="00B96340" w:rsidRDefault="00881CBA" w:rsidP="00881CBA">
      <w:pPr>
        <w:rPr>
          <w:lang w:eastAsia="ja-JP"/>
        </w:rPr>
      </w:pPr>
    </w:p>
    <w:p w:rsidR="00881CBA" w:rsidRPr="00E87C14" w:rsidRDefault="00881CBA" w:rsidP="00881CBA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97"/>
        <w:gridCol w:w="4285"/>
        <w:gridCol w:w="3440"/>
      </w:tblGrid>
      <w:tr w:rsidR="00881CBA" w:rsidRPr="00E87C14" w:rsidTr="00881CBA">
        <w:tc>
          <w:tcPr>
            <w:tcW w:w="1497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Access 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ategory number</w:t>
            </w:r>
          </w:p>
        </w:tc>
        <w:tc>
          <w:tcPr>
            <w:tcW w:w="4285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440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881CBA" w:rsidRPr="00E87C14" w:rsidTr="00881CBA">
        <w:tc>
          <w:tcPr>
            <w:tcW w:w="1497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85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440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1 (NOTE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)</w:t>
            </w:r>
          </w:p>
        </w:tc>
        <w:tc>
          <w:tcPr>
            <w:tcW w:w="4285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delay tolerant service and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subject to access control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, which is judged based on relation of UE</w:t>
            </w:r>
            <w:r w:rsidRPr="00E87C14">
              <w:rPr>
                <w:rFonts w:ascii="Arial" w:hAnsi="Arial"/>
                <w:sz w:val="18"/>
                <w:lang w:eastAsia="ja-JP"/>
              </w:rPr>
              <w:t>’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s HPLMN and the </w:t>
            </w:r>
            <w:r>
              <w:rPr>
                <w:rFonts w:ascii="Arial" w:hAnsi="Arial" w:hint="eastAsia"/>
                <w:sz w:val="18"/>
                <w:lang w:eastAsia="ja-JP"/>
              </w:rPr>
              <w:t>selected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PLMN.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All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except for Emergency</w:t>
            </w:r>
            <w:ins w:id="4" w:author="Francesco Pica" w:date="2019-11-05T15:02:00Z">
              <w:r w:rsidR="00E841B8">
                <w:rPr>
                  <w:rFonts w:ascii="Arial" w:hAnsi="Arial"/>
                  <w:sz w:val="18"/>
                  <w:lang w:eastAsia="ja-JP"/>
                </w:rPr>
                <w:t>, or</w:t>
              </w:r>
            </w:ins>
            <w:ins w:id="5" w:author="Francesco Pica" w:date="2019-11-05T11:40:00Z">
              <w:r w:rsidR="00260920">
                <w:rPr>
                  <w:rFonts w:ascii="Arial" w:hAnsi="Arial"/>
                  <w:sz w:val="18"/>
                  <w:lang w:eastAsia="ja-JP"/>
                </w:rPr>
                <w:t xml:space="preserve"> MO exception data</w:t>
              </w:r>
            </w:ins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85" w:type="dxa"/>
          </w:tcPr>
          <w:p w:rsidR="00881CBA" w:rsidRPr="00A36516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9372A8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440" w:type="dxa"/>
          </w:tcPr>
          <w:p w:rsidR="00881CBA" w:rsidRPr="00A36516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E87C14">
              <w:rPr>
                <w:rFonts w:ascii="Arial" w:hAnsi="Arial"/>
                <w:sz w:val="18"/>
                <w:lang w:eastAsia="ja-JP"/>
              </w:rPr>
              <w:t>signalling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on NAS level </w:t>
            </w:r>
            <w:r w:rsidRPr="003C4644">
              <w:rPr>
                <w:rFonts w:ascii="Arial" w:hAnsi="Arial"/>
                <w:sz w:val="18"/>
                <w:lang w:eastAsia="ja-JP"/>
              </w:rPr>
              <w:t>resulting from other than paging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voice</w:t>
            </w:r>
            <w:r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85" w:type="dxa"/>
          </w:tcPr>
          <w:p w:rsidR="00881CBA" w:rsidRPr="0023286D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the conditions 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</w:t>
            </w:r>
            <w:r w:rsidRPr="008C641D">
              <w:rPr>
                <w:rFonts w:ascii="Arial" w:hAnsi="Arial" w:hint="eastAsia"/>
                <w:sz w:val="18"/>
                <w:lang w:eastAsia="ja-JP"/>
              </w:rPr>
              <w:t>s in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 A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>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85" w:type="dxa"/>
          </w:tcPr>
          <w:p w:rsidR="00881CBA" w:rsidRPr="0023286D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/>
                <w:sz w:val="18"/>
                <w:lang w:eastAsia="ja-JP"/>
              </w:rPr>
              <w:t>ategories</w:t>
            </w:r>
            <w:r>
              <w:rPr>
                <w:rFonts w:ascii="Arial" w:hAnsi="Arial"/>
                <w:sz w:val="18"/>
                <w:lang w:eastAsia="ja-JP"/>
              </w:rPr>
              <w:t xml:space="preserve"> (NOTE 4)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85" w:type="dxa"/>
          </w:tcPr>
          <w:p w:rsidR="00881CBA" w:rsidRPr="00F91A2C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881CBA" w:rsidRPr="00E87C14" w:rsidTr="00881CBA">
        <w:trPr>
          <w:ins w:id="6" w:author="Francesco Pica" w:date="2019-11-03T09:01:00Z"/>
        </w:trPr>
        <w:tc>
          <w:tcPr>
            <w:tcW w:w="1497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7" w:author="Francesco Pica" w:date="2019-11-03T09:01:00Z"/>
                <w:rFonts w:ascii="Arial" w:hAnsi="Arial"/>
                <w:sz w:val="18"/>
                <w:lang w:eastAsia="ja-JP"/>
              </w:rPr>
            </w:pPr>
            <w:ins w:id="8" w:author="Francesco Pica" w:date="2019-11-03T09:01:00Z">
              <w:r>
                <w:rPr>
                  <w:rFonts w:ascii="Arial" w:hAnsi="Arial"/>
                  <w:sz w:val="18"/>
                  <w:lang w:eastAsia="ja-JP"/>
                </w:rPr>
                <w:t>9</w:t>
              </w:r>
            </w:ins>
            <w:ins w:id="9" w:author="Francesco Pica" w:date="2019-11-04T14:32:00Z">
              <w:r w:rsidR="00427E1D">
                <w:rPr>
                  <w:rFonts w:ascii="Arial" w:hAnsi="Arial"/>
                  <w:sz w:val="18"/>
                  <w:lang w:eastAsia="ja-JP"/>
                </w:rPr>
                <w:t xml:space="preserve"> (NOTE 5)</w:t>
              </w:r>
            </w:ins>
          </w:p>
        </w:tc>
        <w:tc>
          <w:tcPr>
            <w:tcW w:w="4285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10" w:author="Francesco Pica" w:date="2019-11-03T09:01:00Z"/>
                <w:rFonts w:ascii="Arial" w:hAnsi="Arial"/>
                <w:sz w:val="18"/>
                <w:lang w:eastAsia="ja-JP"/>
              </w:rPr>
            </w:pPr>
            <w:ins w:id="11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>All</w:t>
              </w:r>
            </w:ins>
          </w:p>
        </w:tc>
        <w:tc>
          <w:tcPr>
            <w:tcW w:w="3440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12" w:author="Francesco Pica" w:date="2019-11-03T09:01:00Z"/>
                <w:rFonts w:ascii="Arial" w:hAnsi="Arial"/>
                <w:sz w:val="18"/>
                <w:lang w:eastAsia="ja-JP"/>
              </w:rPr>
            </w:pPr>
            <w:ins w:id="13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 xml:space="preserve">MO exception data </w:t>
              </w:r>
            </w:ins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4" w:author="Francesco Pica" w:date="2019-11-03T09:02:00Z">
              <w:r w:rsidDel="00881CBA">
                <w:rPr>
                  <w:rFonts w:ascii="Arial" w:hAnsi="Arial"/>
                  <w:sz w:val="18"/>
                  <w:lang w:eastAsia="ja-JP"/>
                </w:rPr>
                <w:delText>9</w:delText>
              </w:r>
            </w:del>
            <w:ins w:id="15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>10</w:t>
              </w:r>
            </w:ins>
            <w:r w:rsidRPr="00E87C14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85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440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ategories</w:t>
            </w:r>
          </w:p>
        </w:tc>
      </w:tr>
      <w:tr w:rsidR="00881CBA" w:rsidRPr="009372A8" w:rsidTr="00881CBA">
        <w:tc>
          <w:tcPr>
            <w:tcW w:w="1497" w:type="dxa"/>
            <w:tcBorders>
              <w:bottom w:val="single" w:sz="12" w:space="0" w:color="auto"/>
            </w:tcBorders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32-63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(NOTE 2)</w:t>
            </w:r>
          </w:p>
        </w:tc>
        <w:tc>
          <w:tcPr>
            <w:tcW w:w="4285" w:type="dxa"/>
            <w:tcBorders>
              <w:bottom w:val="single" w:sz="12" w:space="0" w:color="auto"/>
            </w:tcBorders>
          </w:tcPr>
          <w:p w:rsidR="00881CBA" w:rsidRPr="009372A8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0FF7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440" w:type="dxa"/>
            <w:tcBorders>
              <w:bottom w:val="single" w:sz="12" w:space="0" w:color="auto"/>
            </w:tcBorders>
          </w:tcPr>
          <w:p w:rsidR="00881CBA" w:rsidRPr="009372A8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0D282E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881CBA" w:rsidRPr="00E87C14" w:rsidTr="00881CBA">
        <w:tc>
          <w:tcPr>
            <w:tcW w:w="9222" w:type="dxa"/>
            <w:gridSpan w:val="3"/>
            <w:tcBorders>
              <w:top w:val="single" w:sz="12" w:space="0" w:color="auto"/>
            </w:tcBorders>
          </w:tcPr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 w:hint="eastAsia"/>
                <w:sz w:val="18"/>
                <w:lang w:eastAsia="ja-JP"/>
              </w:rPr>
              <w:t>The barring parameter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is </w:t>
            </w:r>
            <w:r w:rsidRPr="00E87C14">
              <w:rPr>
                <w:rFonts w:ascii="Arial" w:hAnsi="Arial"/>
                <w:sz w:val="18"/>
                <w:lang w:eastAsia="ja-JP"/>
              </w:rPr>
              <w:t>accompanied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E87C14">
              <w:rPr>
                <w:rFonts w:ascii="Arial" w:hAnsi="Arial"/>
                <w:sz w:val="18"/>
                <w:lang w:eastAsia="ja-JP"/>
              </w:rPr>
              <w:t>information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8712A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When a UE is configured for EAB, the UE is also configured for delay tolerant service. In case a UE is configured both for EAB and for EAB override, when upp</w:t>
            </w:r>
            <w:r>
              <w:rPr>
                <w:rFonts w:ascii="Arial" w:hAnsi="Arial"/>
                <w:sz w:val="18"/>
                <w:lang w:eastAsia="ja-JP"/>
              </w:rPr>
              <w:t xml:space="preserve">er layer indicates to override </w:t>
            </w:r>
            <w:r w:rsidRPr="001423F8">
              <w:rPr>
                <w:rFonts w:ascii="Arial" w:hAnsi="Arial"/>
                <w:sz w:val="18"/>
                <w:lang w:eastAsia="ja-JP"/>
              </w:rPr>
              <w:t>Access Category 1, then Access Category 1 is not applicable.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based on operator cla</w:t>
            </w:r>
            <w:r>
              <w:rPr>
                <w:rFonts w:ascii="Arial" w:hAnsi="Arial"/>
                <w:sz w:val="18"/>
                <w:lang w:eastAsia="ja-JP"/>
              </w:rPr>
              <w:t xml:space="preserve">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to both of which an access attempt can be cat</w:t>
            </w:r>
            <w:r>
              <w:rPr>
                <w:rFonts w:ascii="Arial" w:hAnsi="Arial"/>
                <w:sz w:val="18"/>
                <w:lang w:eastAsia="ja-JP"/>
              </w:rPr>
              <w:t xml:space="preserve">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nor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6" w:author="Francesco Pica" w:date="2019-11-03T09:02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IMS Messaging.</w:t>
            </w:r>
          </w:p>
          <w:p w:rsidR="00427E1D" w:rsidRPr="00427E1D" w:rsidRDefault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7" w:author="Francesco Pica" w:date="2019-11-04T14:33:00Z"/>
                <w:rFonts w:ascii="Arial" w:hAnsi="Arial"/>
                <w:sz w:val="18"/>
                <w:lang w:eastAsia="ja-JP"/>
              </w:rPr>
              <w:pPrChange w:id="18" w:author="Francesco Pica" w:date="2019-11-05T11:4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3"/>
                  <w:textAlignment w:val="baseline"/>
                </w:pPr>
              </w:pPrChange>
            </w:pPr>
            <w:ins w:id="19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 xml:space="preserve">NOTE 5:   </w:t>
              </w:r>
            </w:ins>
            <w:ins w:id="20" w:author="Francesco Pica" w:date="2019-11-05T15:05:00Z">
              <w:r w:rsidR="00E841B8">
                <w:rPr>
                  <w:rFonts w:ascii="Arial" w:hAnsi="Arial"/>
                  <w:sz w:val="18"/>
                  <w:lang w:eastAsia="ja-JP"/>
                </w:rPr>
                <w:t xml:space="preserve">Applies to </w:t>
              </w:r>
              <w:r w:rsidR="00E841B8" w:rsidRPr="00E841B8">
                <w:rPr>
                  <w:rFonts w:ascii="Arial" w:hAnsi="Arial"/>
                  <w:sz w:val="18"/>
                  <w:highlight w:val="yellow"/>
                  <w:lang w:eastAsia="ja-JP"/>
                  <w:rPrChange w:id="21" w:author="Francesco Pica" w:date="2019-11-05T15:08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NB-IOT UEs</w:t>
              </w:r>
              <w:r w:rsidR="00E841B8">
                <w:rPr>
                  <w:rFonts w:ascii="Arial" w:hAnsi="Arial"/>
                  <w:sz w:val="18"/>
                  <w:lang w:eastAsia="ja-JP"/>
                </w:rPr>
                <w:t xml:space="preserve">. </w:t>
              </w:r>
            </w:ins>
            <w:ins w:id="22" w:author="Francesco Pica" w:date="2019-11-04T14:33:00Z">
              <w:r w:rsidR="00427E1D" w:rsidRPr="00427E1D">
                <w:rPr>
                  <w:rFonts w:ascii="Arial" w:hAnsi="Arial"/>
                  <w:sz w:val="18"/>
                  <w:lang w:eastAsia="ja-JP"/>
                </w:rPr>
                <w:t>The barring parameter for Access Category 9 is accompanied with information that define whether Access Category applies to UEs within one of the following categories:</w:t>
              </w:r>
            </w:ins>
          </w:p>
          <w:p w:rsidR="00427E1D" w:rsidRPr="00427E1D" w:rsidRDefault="00427E1D" w:rsidP="00427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3"/>
              <w:textAlignment w:val="baseline"/>
              <w:rPr>
                <w:ins w:id="23" w:author="Francesco Pica" w:date="2019-11-04T14:33:00Z"/>
                <w:rFonts w:ascii="Arial" w:hAnsi="Arial"/>
                <w:sz w:val="18"/>
                <w:lang w:eastAsia="ja-JP"/>
              </w:rPr>
            </w:pPr>
            <w:ins w:id="24" w:author="Francesco Pica" w:date="2019-11-04T14:33:00Z">
              <w:r w:rsidRPr="00427E1D">
                <w:rPr>
                  <w:rFonts w:ascii="Arial" w:hAnsi="Arial"/>
                  <w:sz w:val="18"/>
                  <w:lang w:eastAsia="ja-JP"/>
                </w:rPr>
                <w:t xml:space="preserve">a) </w:t>
              </w:r>
            </w:ins>
            <w:ins w:id="25" w:author="Francesco Pica" w:date="2019-11-05T15:07:00Z">
              <w:r w:rsidR="00E841B8">
                <w:rPr>
                  <w:rFonts w:ascii="Arial" w:hAnsi="Arial"/>
                  <w:sz w:val="18"/>
                  <w:lang w:eastAsia="ja-JP"/>
                </w:rPr>
                <w:t>I</w:t>
              </w:r>
            </w:ins>
            <w:ins w:id="26" w:author="Francesco Pica" w:date="2019-11-04T14:33:00Z">
              <w:r w:rsidRPr="00427E1D">
                <w:rPr>
                  <w:rFonts w:ascii="Arial" w:hAnsi="Arial"/>
                  <w:sz w:val="18"/>
                  <w:lang w:eastAsia="ja-JP"/>
                </w:rPr>
                <w:t>n all PLMNs</w:t>
              </w:r>
            </w:ins>
          </w:p>
          <w:p w:rsidR="00427E1D" w:rsidRPr="00427E1D" w:rsidRDefault="00427E1D" w:rsidP="00427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3"/>
              <w:textAlignment w:val="baseline"/>
              <w:rPr>
                <w:ins w:id="27" w:author="Francesco Pica" w:date="2019-11-04T14:33:00Z"/>
                <w:rFonts w:ascii="Arial" w:hAnsi="Arial"/>
                <w:sz w:val="18"/>
                <w:lang w:eastAsia="ja-JP"/>
              </w:rPr>
            </w:pPr>
            <w:ins w:id="28" w:author="Francesco Pica" w:date="2019-11-04T14:33:00Z">
              <w:r w:rsidRPr="00427E1D">
                <w:rPr>
                  <w:rFonts w:ascii="Arial" w:hAnsi="Arial"/>
                  <w:sz w:val="18"/>
                  <w:lang w:eastAsia="ja-JP"/>
                </w:rPr>
                <w:t>b) UEs that are neither in their HPLMN nor in a PLMN that is equivalent to it;</w:t>
              </w:r>
            </w:ins>
          </w:p>
          <w:p w:rsidR="00427E1D" w:rsidRPr="00E87C14" w:rsidRDefault="00427E1D" w:rsidP="00427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3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9" w:author="Francesco Pica" w:date="2019-11-04T14:33:00Z">
              <w:r w:rsidRPr="00427E1D">
                <w:rPr>
                  <w:rFonts w:ascii="Arial" w:hAnsi="Arial"/>
                  <w:sz w:val="18"/>
                  <w:lang w:eastAsia="ja-JP"/>
                </w:rPr>
                <w:t>c) UEs that are neither in the PLMN listed as most preferred PLMN of the country where the UE is roaming in the operator-defined PLMN selector list on the SIM/USIM, nor in their HPLMN nor in a PLMN that is equivalent to their HPLMN.</w:t>
              </w:r>
            </w:ins>
          </w:p>
        </w:tc>
      </w:tr>
    </w:tbl>
    <w:p w:rsidR="00881CBA" w:rsidRDefault="00881CBA" w:rsidP="00881CBA">
      <w:pPr>
        <w:rPr>
          <w:lang w:eastAsia="ja-JP"/>
        </w:rPr>
      </w:pPr>
    </w:p>
    <w:p w:rsidR="00881CBA" w:rsidRDefault="00881CBA" w:rsidP="00881CBA">
      <w:pPr>
        <w:rPr>
          <w:lang w:eastAsia="ja-JP"/>
        </w:rPr>
      </w:pPr>
      <w:r w:rsidRPr="000F48C0">
        <w:rPr>
          <w:rFonts w:hint="eastAsia"/>
          <w:lang w:eastAsia="ja-JP"/>
        </w:rPr>
        <w:t>Access Category 0 shall not be barred, irrespective of Access Identities.</w:t>
      </w:r>
    </w:p>
    <w:p w:rsidR="00761F42" w:rsidRDefault="00881CBA" w:rsidP="00265D9B">
      <w:pPr>
        <w:pStyle w:val="NO"/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sectPr w:rsidR="00761F42" w:rsidSect="00265D9B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7EE" w:rsidRDefault="005957EE">
      <w:pPr>
        <w:spacing w:after="0"/>
      </w:pPr>
      <w:r>
        <w:separator/>
      </w:r>
    </w:p>
  </w:endnote>
  <w:endnote w:type="continuationSeparator" w:id="0">
    <w:p w:rsidR="005957EE" w:rsidRDefault="005957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7EE" w:rsidRDefault="005957EE">
      <w:pPr>
        <w:spacing w:after="0"/>
      </w:pPr>
      <w:r>
        <w:separator/>
      </w:r>
    </w:p>
  </w:footnote>
  <w:footnote w:type="continuationSeparator" w:id="0">
    <w:p w:rsidR="005957EE" w:rsidRDefault="005957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9051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CBA"/>
    <w:rsid w:val="000F2D7D"/>
    <w:rsid w:val="00260920"/>
    <w:rsid w:val="00265D9B"/>
    <w:rsid w:val="002C70D8"/>
    <w:rsid w:val="00427E1D"/>
    <w:rsid w:val="00511E15"/>
    <w:rsid w:val="005957EE"/>
    <w:rsid w:val="00761F42"/>
    <w:rsid w:val="007864E5"/>
    <w:rsid w:val="00881CBA"/>
    <w:rsid w:val="00905169"/>
    <w:rsid w:val="00A352A6"/>
    <w:rsid w:val="00B04033"/>
    <w:rsid w:val="00B4213D"/>
    <w:rsid w:val="00B8604F"/>
    <w:rsid w:val="00BD3BE9"/>
    <w:rsid w:val="00E11C99"/>
    <w:rsid w:val="00E55F6D"/>
    <w:rsid w:val="00E8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0CD9C"/>
  <w15:chartTrackingRefBased/>
  <w15:docId w15:val="{6C84C11D-A773-446F-A2DB-F3963C6BB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1CB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C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81CB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81CBA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rsid w:val="00881CBA"/>
    <w:pPr>
      <w:keepLines/>
      <w:ind w:left="1135" w:hanging="851"/>
    </w:pPr>
    <w:rPr>
      <w:lang w:val="x-none"/>
    </w:rPr>
  </w:style>
  <w:style w:type="paragraph" w:customStyle="1" w:styleId="TH">
    <w:name w:val="TH"/>
    <w:basedOn w:val="Normal"/>
    <w:link w:val="THChar"/>
    <w:rsid w:val="00881CBA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NOChar">
    <w:name w:val="NO Char"/>
    <w:link w:val="NO"/>
    <w:rsid w:val="00881CBA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881CBA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1CB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CB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265D9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65D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2</cp:revision>
  <dcterms:created xsi:type="dcterms:W3CDTF">2019-11-08T21:16:00Z</dcterms:created>
  <dcterms:modified xsi:type="dcterms:W3CDTF">2019-11-08T21:16:00Z</dcterms:modified>
</cp:coreProperties>
</file>